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A6A7" w14:textId="0B41A11F" w:rsidR="00DD52BA" w:rsidRDefault="003D4D6D">
      <w:pPr>
        <w:pStyle w:val="Heading1"/>
      </w:pPr>
      <w:r w:rsidRPr="003D4D6D">
        <w:t>Greater Manchester Crown Courts Practice Protocol No.1 of 2026</w:t>
      </w:r>
    </w:p>
    <w:p w14:paraId="672A6659" w14:textId="77777777" w:rsidR="00DD52BA" w:rsidRDefault="00DD52BA">
      <w:pPr>
        <w:pBdr>
          <w:top w:val="single" w:sz="12" w:space="0" w:color="auto"/>
        </w:pBdr>
        <w:spacing w:after="0"/>
      </w:pPr>
    </w:p>
    <w:p w14:paraId="0A37501D" w14:textId="77777777" w:rsidR="00DD52BA" w:rsidRDefault="00DD52BA"/>
    <w:p w14:paraId="5DAB6C7B" w14:textId="77777777" w:rsidR="00DD52BA" w:rsidRDefault="00DD52BA"/>
    <w:p w14:paraId="5A115883" w14:textId="1DAECFF7" w:rsidR="00DD52BA" w:rsidRDefault="003D4D6D">
      <w:pPr>
        <w:pStyle w:val="Heading2"/>
      </w:pPr>
      <w:r w:rsidRPr="003D4D6D">
        <w:t>Greater Manchester Crown Courts</w:t>
      </w:r>
    </w:p>
    <w:p w14:paraId="02EB378F" w14:textId="77777777" w:rsidR="00DD52BA" w:rsidRDefault="00DD52BA"/>
    <w:p w14:paraId="10035982" w14:textId="77777777" w:rsidR="00DD52BA" w:rsidRDefault="00000000">
      <w:pPr>
        <w:pStyle w:val="Heading1"/>
      </w:pPr>
      <w:r>
        <w:t>Practice Protocol</w:t>
      </w:r>
    </w:p>
    <w:p w14:paraId="5AB07E23" w14:textId="3BCD0BCB" w:rsidR="00DD52BA" w:rsidRDefault="00DD52BA" w:rsidP="003D4D6D">
      <w:pPr>
        <w:pStyle w:val="Heading3"/>
      </w:pPr>
    </w:p>
    <w:p w14:paraId="545C5A2E" w14:textId="77777777" w:rsidR="00DD52BA" w:rsidRDefault="00000000">
      <w:r>
        <w:rPr>
          <w:b/>
          <w:bCs/>
        </w:rPr>
        <w:t>Issued for the guidance of Greater Manchester Crown Court practitioners</w:t>
      </w:r>
    </w:p>
    <w:p w14:paraId="5A39BBE3" w14:textId="77777777" w:rsidR="00DD52BA" w:rsidRDefault="00DD52BA">
      <w:pPr>
        <w:pBdr>
          <w:top w:val="single" w:sz="12" w:space="0" w:color="auto"/>
        </w:pBdr>
        <w:spacing w:after="0"/>
      </w:pPr>
    </w:p>
    <w:p w14:paraId="09E8E0E2" w14:textId="77777777" w:rsidR="00DD52BA" w:rsidRDefault="00000000">
      <w:pPr>
        <w:pStyle w:val="Heading2"/>
      </w:pPr>
      <w:r>
        <w:t>Status and Purpose</w:t>
      </w:r>
    </w:p>
    <w:p w14:paraId="51377679" w14:textId="0BAC1729" w:rsidR="00DD52BA" w:rsidRPr="003343FF" w:rsidRDefault="00000000">
      <w:r>
        <w:t xml:space="preserve">This Practice Protocol is issued for the guidance of </w:t>
      </w:r>
      <w:r>
        <w:rPr>
          <w:b/>
          <w:bCs/>
        </w:rPr>
        <w:t>Greater Manchester Crown Court practitioners</w:t>
      </w:r>
      <w:r>
        <w:t xml:space="preserve">. It consolidates and </w:t>
      </w:r>
      <w:proofErr w:type="spellStart"/>
      <w:r>
        <w:t>formalises</w:t>
      </w:r>
      <w:proofErr w:type="spellEnd"/>
      <w:r>
        <w:t xml:space="preserve"> recent </w:t>
      </w:r>
      <w:r>
        <w:rPr>
          <w:b/>
          <w:bCs/>
        </w:rPr>
        <w:t>listing arrangements, case management expectations, and cross‑courting principles</w:t>
      </w:r>
      <w:r>
        <w:t xml:space="preserve"> arising from local and national developments.</w:t>
      </w:r>
      <w:r w:rsidR="003343FF">
        <w:t xml:space="preserve"> </w:t>
      </w:r>
      <w:r w:rsidR="003343FF" w:rsidRPr="00C96206">
        <w:rPr>
          <w:b/>
          <w:bCs/>
        </w:rPr>
        <w:t>Trial time estimate</w:t>
      </w:r>
      <w:r w:rsidR="003343FF">
        <w:t xml:space="preserve"> in this Practice Protocol means the time estimate from jury empanelment to jury retirement (</w:t>
      </w:r>
      <w:r w:rsidR="003343FF">
        <w:rPr>
          <w:b/>
          <w:bCs/>
        </w:rPr>
        <w:t xml:space="preserve">not </w:t>
      </w:r>
      <w:r w:rsidR="003343FF">
        <w:t>to verdict).</w:t>
      </w:r>
    </w:p>
    <w:p w14:paraId="1A41FDBB" w14:textId="77777777" w:rsidR="00DD52BA" w:rsidRDefault="00000000">
      <w:r>
        <w:t>The Protocol is intended to:</w:t>
      </w:r>
    </w:p>
    <w:p w14:paraId="0A70B897" w14:textId="77777777" w:rsidR="00DD52BA" w:rsidRDefault="00000000">
      <w:pPr>
        <w:pStyle w:val="ListParagraph"/>
        <w:numPr>
          <w:ilvl w:val="0"/>
          <w:numId w:val="2"/>
        </w:numPr>
      </w:pPr>
      <w:r>
        <w:t>Promote consistency across Greater Manchester Crown Courts;</w:t>
      </w:r>
    </w:p>
    <w:p w14:paraId="23811E2B" w14:textId="77777777" w:rsidR="00DD52BA" w:rsidRDefault="00000000">
      <w:pPr>
        <w:pStyle w:val="ListParagraph"/>
        <w:numPr>
          <w:ilvl w:val="0"/>
          <w:numId w:val="2"/>
        </w:numPr>
      </w:pPr>
      <w:proofErr w:type="spellStart"/>
      <w:r>
        <w:t>Maximise</w:t>
      </w:r>
      <w:proofErr w:type="spellEnd"/>
      <w:r>
        <w:t xml:space="preserve"> effective trial capacity;</w:t>
      </w:r>
    </w:p>
    <w:p w14:paraId="4EDF58B3" w14:textId="77777777" w:rsidR="00DD52BA" w:rsidRDefault="00000000">
      <w:pPr>
        <w:pStyle w:val="ListParagraph"/>
        <w:numPr>
          <w:ilvl w:val="0"/>
          <w:numId w:val="2"/>
        </w:numPr>
      </w:pPr>
      <w:r>
        <w:t>Reduce unnecessary hearings and delay;</w:t>
      </w:r>
    </w:p>
    <w:p w14:paraId="72002A97" w14:textId="77777777" w:rsidR="00DD52BA" w:rsidRDefault="00000000">
      <w:pPr>
        <w:pStyle w:val="ListParagraph"/>
        <w:numPr>
          <w:ilvl w:val="0"/>
          <w:numId w:val="2"/>
        </w:numPr>
      </w:pPr>
      <w:r>
        <w:t>Support earlier resolution of appropriate cases;</w:t>
      </w:r>
    </w:p>
    <w:p w14:paraId="2F022A8D" w14:textId="77777777" w:rsidR="00DD52BA" w:rsidRDefault="00000000">
      <w:pPr>
        <w:pStyle w:val="ListParagraph"/>
        <w:numPr>
          <w:ilvl w:val="0"/>
          <w:numId w:val="2"/>
        </w:numPr>
      </w:pPr>
      <w:proofErr w:type="spellStart"/>
      <w:r>
        <w:t>Minimise</w:t>
      </w:r>
      <w:proofErr w:type="spellEnd"/>
      <w:r>
        <w:t xml:space="preserve"> disruption caused by unmanaged cross‑courting of advocates.</w:t>
      </w:r>
    </w:p>
    <w:p w14:paraId="3FBC025A" w14:textId="0A3D2B67" w:rsidR="00DD52BA" w:rsidRDefault="00DD52BA" w:rsidP="003D4D6D"/>
    <w:p w14:paraId="41C8F396" w14:textId="77777777" w:rsidR="00DD52BA" w:rsidRDefault="00DD52BA">
      <w:pPr>
        <w:pBdr>
          <w:top w:val="single" w:sz="12" w:space="0" w:color="auto"/>
        </w:pBdr>
        <w:spacing w:after="0"/>
      </w:pPr>
    </w:p>
    <w:p w14:paraId="7098351C" w14:textId="77777777" w:rsidR="00DD52BA" w:rsidRDefault="00000000">
      <w:pPr>
        <w:pStyle w:val="Heading2"/>
      </w:pPr>
      <w:r>
        <w:t>1. Scope: Courts Covered</w:t>
      </w:r>
    </w:p>
    <w:p w14:paraId="262D85FD" w14:textId="77777777" w:rsidR="00DD52BA" w:rsidRDefault="00000000">
      <w:r>
        <w:t>This Protocol applies to all criminal proceedings listed in:</w:t>
      </w:r>
    </w:p>
    <w:p w14:paraId="6E8AE96D" w14:textId="77777777" w:rsidR="00DD52BA" w:rsidRDefault="00000000">
      <w:pPr>
        <w:pStyle w:val="ListParagraph"/>
        <w:numPr>
          <w:ilvl w:val="0"/>
          <w:numId w:val="3"/>
        </w:numPr>
      </w:pPr>
      <w:r>
        <w:t xml:space="preserve">Manchester Crown Court at </w:t>
      </w:r>
      <w:r>
        <w:rPr>
          <w:b/>
          <w:bCs/>
        </w:rPr>
        <w:t>Minshull Street</w:t>
      </w:r>
      <w:r>
        <w:t>;</w:t>
      </w:r>
    </w:p>
    <w:p w14:paraId="246617F0" w14:textId="77777777" w:rsidR="00DD52BA" w:rsidRDefault="00000000">
      <w:pPr>
        <w:pStyle w:val="ListParagraph"/>
        <w:numPr>
          <w:ilvl w:val="0"/>
          <w:numId w:val="3"/>
        </w:numPr>
      </w:pPr>
      <w:r>
        <w:lastRenderedPageBreak/>
        <w:t xml:space="preserve">Manchester Crown Court at </w:t>
      </w:r>
      <w:r>
        <w:rPr>
          <w:b/>
          <w:bCs/>
        </w:rPr>
        <w:t>Crown Square</w:t>
      </w:r>
      <w:r>
        <w:t>;</w:t>
      </w:r>
    </w:p>
    <w:p w14:paraId="604D4851" w14:textId="77777777" w:rsidR="00DD52BA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Bolton Crown Court</w:t>
      </w:r>
      <w:r>
        <w:t>;</w:t>
      </w:r>
    </w:p>
    <w:p w14:paraId="01291600" w14:textId="77777777" w:rsidR="00DD52BA" w:rsidRDefault="00000000">
      <w:pPr>
        <w:pStyle w:val="ListParagraph"/>
        <w:numPr>
          <w:ilvl w:val="0"/>
          <w:numId w:val="3"/>
        </w:numPr>
      </w:pPr>
      <w:r>
        <w:t xml:space="preserve">Certain Greater Manchester cases listed at </w:t>
      </w:r>
      <w:r>
        <w:rPr>
          <w:b/>
          <w:bCs/>
        </w:rPr>
        <w:t>Liverpool Crown Court</w:t>
      </w:r>
      <w:r>
        <w:t xml:space="preserve"> pursuant to section 3 below.</w:t>
      </w:r>
    </w:p>
    <w:p w14:paraId="72A3D3EC" w14:textId="77777777" w:rsidR="00DD52BA" w:rsidRDefault="00DD52BA">
      <w:pPr>
        <w:pBdr>
          <w:top w:val="single" w:sz="12" w:space="0" w:color="auto"/>
        </w:pBdr>
        <w:spacing w:after="0"/>
      </w:pPr>
    </w:p>
    <w:p w14:paraId="2FA06424" w14:textId="77777777" w:rsidR="00DD52BA" w:rsidRDefault="00000000">
      <w:pPr>
        <w:pStyle w:val="Heading2"/>
      </w:pPr>
      <w:r>
        <w:t>2. Distribution of Work within Greater Manchester</w:t>
      </w:r>
    </w:p>
    <w:p w14:paraId="02DF9AE6" w14:textId="77777777" w:rsidR="00DD52BA" w:rsidRDefault="00000000">
      <w:pPr>
        <w:pStyle w:val="Heading3"/>
      </w:pPr>
      <w:r>
        <w:t>2.1 Rebalancing of Receipts</w:t>
      </w:r>
    </w:p>
    <w:p w14:paraId="1B0E0C89" w14:textId="77777777" w:rsidR="00DD52BA" w:rsidRDefault="00000000">
      <w:r>
        <w:t>To achieve parity between incoming work and available judicial and courtroom resources:</w:t>
      </w:r>
    </w:p>
    <w:p w14:paraId="0234004C" w14:textId="77777777" w:rsidR="00DD52BA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>All Rochdale and Bury committals</w:t>
      </w:r>
      <w:r>
        <w:t xml:space="preserve"> will be sent to </w:t>
      </w:r>
      <w:r>
        <w:rPr>
          <w:b/>
          <w:bCs/>
        </w:rPr>
        <w:t>Crown Square</w:t>
      </w:r>
      <w:r>
        <w:t xml:space="preserve"> rather than Minshull Street from the start of the 2026/27 sitting year (week commencing 30 March).</w:t>
      </w:r>
    </w:p>
    <w:p w14:paraId="6EB61F11" w14:textId="77777777" w:rsidR="00DD52BA" w:rsidRDefault="00000000">
      <w:pPr>
        <w:pStyle w:val="ListParagraph"/>
        <w:numPr>
          <w:ilvl w:val="0"/>
          <w:numId w:val="4"/>
        </w:numPr>
      </w:pPr>
      <w:r>
        <w:t xml:space="preserve">This change applies </w:t>
      </w:r>
      <w:r>
        <w:rPr>
          <w:b/>
          <w:bCs/>
        </w:rPr>
        <w:t>only to new cases</w:t>
      </w:r>
      <w:r>
        <w:t xml:space="preserve"> and does not affect cases already allocated.</w:t>
      </w:r>
    </w:p>
    <w:p w14:paraId="66BE98D6" w14:textId="77777777" w:rsidR="00DD52BA" w:rsidRDefault="00000000">
      <w:pPr>
        <w:pStyle w:val="Heading3"/>
      </w:pPr>
      <w:r>
        <w:t>2.2 Bolton Crown Court</w:t>
      </w:r>
    </w:p>
    <w:p w14:paraId="39890C02" w14:textId="77777777" w:rsidR="00DD52BA" w:rsidRDefault="00000000">
      <w:pPr>
        <w:pStyle w:val="ListParagraph"/>
        <w:numPr>
          <w:ilvl w:val="0"/>
          <w:numId w:val="5"/>
        </w:numPr>
      </w:pPr>
      <w:r>
        <w:t>Further rebalancing within Greater Manchester may not be feasible due to Bolton’s physical and listing constraints.</w:t>
      </w:r>
    </w:p>
    <w:p w14:paraId="0D0B940D" w14:textId="77777777" w:rsidR="00DD52BA" w:rsidRDefault="00DD52BA">
      <w:pPr>
        <w:pBdr>
          <w:top w:val="single" w:sz="12" w:space="0" w:color="auto"/>
        </w:pBdr>
        <w:spacing w:after="0"/>
      </w:pPr>
    </w:p>
    <w:p w14:paraId="402D96F8" w14:textId="77777777" w:rsidR="00DD52BA" w:rsidRDefault="00000000">
      <w:pPr>
        <w:pStyle w:val="Heading2"/>
      </w:pPr>
      <w:r>
        <w:t>3. Use of Liverpool Crown Court for Greater Manchester Sex Trials</w:t>
      </w:r>
    </w:p>
    <w:p w14:paraId="552E8FA1" w14:textId="77777777" w:rsidR="00DD52BA" w:rsidRDefault="00000000">
      <w:pPr>
        <w:pStyle w:val="Heading3"/>
      </w:pPr>
      <w:r>
        <w:t>3.1 Additional Trial Capacity</w:t>
      </w:r>
    </w:p>
    <w:p w14:paraId="3FDCFC1F" w14:textId="77777777" w:rsidR="00DD52BA" w:rsidRDefault="00000000">
      <w:r>
        <w:t xml:space="preserve">An additional courtroom at </w:t>
      </w:r>
      <w:r>
        <w:rPr>
          <w:b/>
          <w:bCs/>
        </w:rPr>
        <w:t>Liverpool Crown Court</w:t>
      </w:r>
      <w:r>
        <w:t xml:space="preserve"> will be available from 13 April to hear Greater Manchester </w:t>
      </w:r>
      <w:r>
        <w:rPr>
          <w:b/>
          <w:bCs/>
        </w:rPr>
        <w:t>RASSO trials</w:t>
      </w:r>
      <w:r>
        <w:t>. The court will be staffed by:</w:t>
      </w:r>
    </w:p>
    <w:p w14:paraId="314BE586" w14:textId="77777777" w:rsidR="00DD52BA" w:rsidRDefault="00000000">
      <w:pPr>
        <w:pStyle w:val="ListParagraph"/>
        <w:numPr>
          <w:ilvl w:val="0"/>
          <w:numId w:val="6"/>
        </w:numPr>
      </w:pPr>
      <w:r>
        <w:t>A Greater Manchester circuit judge or recorder; and</w:t>
      </w:r>
    </w:p>
    <w:p w14:paraId="74914665" w14:textId="77777777" w:rsidR="00DD52BA" w:rsidRDefault="00000000">
      <w:pPr>
        <w:pStyle w:val="ListParagraph"/>
        <w:numPr>
          <w:ilvl w:val="0"/>
          <w:numId w:val="6"/>
        </w:numPr>
      </w:pPr>
      <w:r>
        <w:t>Liverpool court staff.</w:t>
      </w:r>
    </w:p>
    <w:p w14:paraId="1F224ABA" w14:textId="77777777" w:rsidR="00DD52BA" w:rsidRDefault="00000000">
      <w:pPr>
        <w:pStyle w:val="Heading3"/>
      </w:pPr>
      <w:r>
        <w:t>3.2 Cases Eligible for Listing at Liverpool</w:t>
      </w:r>
    </w:p>
    <w:p w14:paraId="6E1C9732" w14:textId="77777777" w:rsidR="00DD52BA" w:rsidRDefault="00000000">
      <w:r>
        <w:t>Cases considered for listing at Liverpool may include (non‑exhaustively):</w:t>
      </w:r>
    </w:p>
    <w:p w14:paraId="25C71431" w14:textId="77777777" w:rsidR="00DD52BA" w:rsidRDefault="00000000">
      <w:pPr>
        <w:pStyle w:val="ListParagraph"/>
        <w:numPr>
          <w:ilvl w:val="0"/>
          <w:numId w:val="7"/>
        </w:numPr>
      </w:pPr>
      <w:r>
        <w:rPr>
          <w:b/>
          <w:bCs/>
        </w:rPr>
        <w:t>Bolton custody sex trials</w:t>
      </w:r>
      <w:r>
        <w:t>;</w:t>
      </w:r>
    </w:p>
    <w:p w14:paraId="3672AD98" w14:textId="77777777" w:rsidR="00DD52BA" w:rsidRDefault="00000000">
      <w:pPr>
        <w:pStyle w:val="ListParagraph"/>
        <w:numPr>
          <w:ilvl w:val="0"/>
          <w:numId w:val="7"/>
        </w:numPr>
      </w:pPr>
      <w:r>
        <w:rPr>
          <w:b/>
          <w:bCs/>
        </w:rPr>
        <w:t>Section 28 cases</w:t>
      </w:r>
      <w:r>
        <w:t>;</w:t>
      </w:r>
    </w:p>
    <w:p w14:paraId="73FAE42D" w14:textId="77777777" w:rsidR="00DD52BA" w:rsidRDefault="00000000">
      <w:pPr>
        <w:pStyle w:val="ListParagraph"/>
        <w:numPr>
          <w:ilvl w:val="0"/>
          <w:numId w:val="7"/>
        </w:numPr>
      </w:pPr>
      <w:r>
        <w:t xml:space="preserve">Sex trials listed for a </w:t>
      </w:r>
      <w:r>
        <w:rPr>
          <w:b/>
          <w:bCs/>
        </w:rPr>
        <w:t>third trial date or beyond</w:t>
      </w:r>
      <w:r>
        <w:t>.</w:t>
      </w:r>
    </w:p>
    <w:p w14:paraId="6B7CD9AF" w14:textId="4E86B847" w:rsidR="00DD52BA" w:rsidRDefault="00000000">
      <w:r>
        <w:t xml:space="preserve">Selection will be undertaken </w:t>
      </w:r>
      <w:r>
        <w:rPr>
          <w:b/>
          <w:bCs/>
        </w:rPr>
        <w:t xml:space="preserve">in consultation with the CPS and the </w:t>
      </w:r>
      <w:proofErr w:type="spellStart"/>
      <w:r>
        <w:rPr>
          <w:b/>
          <w:bCs/>
        </w:rPr>
        <w:t>defence</w:t>
      </w:r>
      <w:proofErr w:type="spellEnd"/>
      <w:r>
        <w:t xml:space="preserve">. Cases under consideration will be listed </w:t>
      </w:r>
      <w:proofErr w:type="spellStart"/>
      <w:r>
        <w:t>en</w:t>
      </w:r>
      <w:proofErr w:type="spellEnd"/>
      <w:r>
        <w:t xml:space="preserve"> bloc for PTR, at which suitability for transfer, live issues, and trial </w:t>
      </w:r>
      <w:r w:rsidR="00C96206">
        <w:t xml:space="preserve">time </w:t>
      </w:r>
      <w:r>
        <w:t>estimates will be examined.</w:t>
      </w:r>
    </w:p>
    <w:p w14:paraId="4D2CD13F" w14:textId="77777777" w:rsidR="00DD52BA" w:rsidRDefault="00000000">
      <w:pPr>
        <w:pStyle w:val="Heading3"/>
      </w:pPr>
      <w:r>
        <w:lastRenderedPageBreak/>
        <w:t>3.3 Effect on Listing</w:t>
      </w:r>
    </w:p>
    <w:p w14:paraId="5D9AB900" w14:textId="77777777" w:rsidR="00DD52BA" w:rsidRDefault="00000000">
      <w:pPr>
        <w:pStyle w:val="ListParagraph"/>
        <w:numPr>
          <w:ilvl w:val="0"/>
          <w:numId w:val="8"/>
        </w:numPr>
      </w:pPr>
      <w:r>
        <w:t xml:space="preserve">The Liverpool court constitutes an </w:t>
      </w:r>
      <w:r>
        <w:rPr>
          <w:b/>
          <w:bCs/>
        </w:rPr>
        <w:t>additional trial court</w:t>
      </w:r>
      <w:r>
        <w:t xml:space="preserve"> for Greater Manchester.</w:t>
      </w:r>
    </w:p>
    <w:p w14:paraId="49321673" w14:textId="77777777" w:rsidR="00DD52BA" w:rsidRDefault="00000000">
      <w:pPr>
        <w:pStyle w:val="ListParagraph"/>
        <w:numPr>
          <w:ilvl w:val="0"/>
          <w:numId w:val="8"/>
        </w:numPr>
      </w:pPr>
      <w:r>
        <w:t xml:space="preserve">Its use is intended to increase sex‑trial capacity </w:t>
      </w:r>
      <w:r>
        <w:rPr>
          <w:b/>
          <w:bCs/>
        </w:rPr>
        <w:t>without displacing other priority work</w:t>
      </w:r>
      <w:r>
        <w:t>.</w:t>
      </w:r>
    </w:p>
    <w:p w14:paraId="0E27B00A" w14:textId="77777777" w:rsidR="00DD52BA" w:rsidRDefault="00DD52BA">
      <w:pPr>
        <w:pBdr>
          <w:top w:val="single" w:sz="12" w:space="0" w:color="auto"/>
        </w:pBdr>
        <w:spacing w:after="0"/>
      </w:pPr>
    </w:p>
    <w:p w14:paraId="3C56CC67" w14:textId="77777777" w:rsidR="00DD52BA" w:rsidRDefault="00000000">
      <w:pPr>
        <w:pStyle w:val="Heading2"/>
      </w:pPr>
      <w:r>
        <w:t>4. Reduction of Unnecessary Hearings</w:t>
      </w:r>
    </w:p>
    <w:p w14:paraId="53E4968A" w14:textId="77777777" w:rsidR="00DD52BA" w:rsidRDefault="00000000">
      <w:pPr>
        <w:pStyle w:val="Heading3"/>
      </w:pPr>
      <w:r>
        <w:t>4.1 General Principle</w:t>
      </w:r>
    </w:p>
    <w:p w14:paraId="23478308" w14:textId="77777777" w:rsidR="00DD52BA" w:rsidRDefault="00000000">
      <w:r>
        <w:t xml:space="preserve">The court expects </w:t>
      </w:r>
      <w:r>
        <w:rPr>
          <w:b/>
          <w:bCs/>
        </w:rPr>
        <w:t>greater procedural discipline</w:t>
      </w:r>
      <w:r>
        <w:t xml:space="preserve"> from all parties. Many intermediate hearings arise from:</w:t>
      </w:r>
    </w:p>
    <w:p w14:paraId="6DD33DF6" w14:textId="77777777" w:rsidR="00DD52BA" w:rsidRDefault="00000000">
      <w:pPr>
        <w:pStyle w:val="ListParagraph"/>
        <w:numPr>
          <w:ilvl w:val="0"/>
          <w:numId w:val="9"/>
        </w:numPr>
      </w:pPr>
      <w:r>
        <w:t>Failure to comply with existing orders; or</w:t>
      </w:r>
    </w:p>
    <w:p w14:paraId="2793238C" w14:textId="77777777" w:rsidR="00DD52BA" w:rsidRDefault="00000000">
      <w:pPr>
        <w:pStyle w:val="ListParagraph"/>
        <w:numPr>
          <w:ilvl w:val="0"/>
          <w:numId w:val="9"/>
        </w:numPr>
      </w:pPr>
      <w:r>
        <w:t>Lack of meaningful inter‑party engagement.</w:t>
      </w:r>
    </w:p>
    <w:p w14:paraId="65D7E192" w14:textId="77777777" w:rsidR="00DD52BA" w:rsidRDefault="00000000">
      <w:r>
        <w:t>Unnecessary hearings undermine trial capacity and will be actively discouraged.</w:t>
      </w:r>
    </w:p>
    <w:p w14:paraId="5D9F29C9" w14:textId="77777777" w:rsidR="00DD52BA" w:rsidRDefault="00000000">
      <w:pPr>
        <w:pStyle w:val="Heading3"/>
      </w:pPr>
      <w:r>
        <w:t>4.2 Judicial Gatekeeping</w:t>
      </w:r>
    </w:p>
    <w:p w14:paraId="77B402EE" w14:textId="704BCECC" w:rsidR="00DD52BA" w:rsidRDefault="00000000">
      <w:r>
        <w:t xml:space="preserve">Any request for a hearing between </w:t>
      </w:r>
      <w:proofErr w:type="spellStart"/>
      <w:r>
        <w:rPr>
          <w:b/>
          <w:bCs/>
        </w:rPr>
        <w:t>PTPH</w:t>
      </w:r>
      <w:proofErr w:type="spellEnd"/>
      <w:r>
        <w:rPr>
          <w:b/>
          <w:bCs/>
        </w:rPr>
        <w:t xml:space="preserve"> and the 10–12 week PTR</w:t>
      </w:r>
      <w:r>
        <w:t xml:space="preserve"> </w:t>
      </w:r>
      <w:r w:rsidR="00294FD6">
        <w:t xml:space="preserve">(see 5 below) </w:t>
      </w:r>
      <w:r>
        <w:t>will:</w:t>
      </w:r>
    </w:p>
    <w:p w14:paraId="50687994" w14:textId="77777777" w:rsidR="00DD52BA" w:rsidRDefault="00000000">
      <w:pPr>
        <w:pStyle w:val="ListParagraph"/>
        <w:numPr>
          <w:ilvl w:val="0"/>
          <w:numId w:val="10"/>
        </w:numPr>
      </w:pPr>
      <w:r>
        <w:t>Be reviewed by a judge;</w:t>
      </w:r>
    </w:p>
    <w:p w14:paraId="489B993D" w14:textId="77777777" w:rsidR="00DD52BA" w:rsidRDefault="00000000">
      <w:pPr>
        <w:pStyle w:val="ListParagraph"/>
        <w:numPr>
          <w:ilvl w:val="0"/>
          <w:numId w:val="10"/>
        </w:numPr>
      </w:pPr>
      <w:r>
        <w:t>Be listed only if a hearing is necessary;</w:t>
      </w:r>
    </w:p>
    <w:p w14:paraId="47D2C12E" w14:textId="77777777" w:rsidR="00DD52BA" w:rsidRDefault="00000000">
      <w:pPr>
        <w:pStyle w:val="ListParagraph"/>
        <w:numPr>
          <w:ilvl w:val="0"/>
          <w:numId w:val="10"/>
        </w:numPr>
      </w:pPr>
      <w:r>
        <w:t>Otherwise be dealt with administratively where appropriate.</w:t>
      </w:r>
    </w:p>
    <w:p w14:paraId="60061E4C" w14:textId="77777777" w:rsidR="00DD52BA" w:rsidRDefault="00DD52BA">
      <w:pPr>
        <w:pBdr>
          <w:top w:val="single" w:sz="12" w:space="0" w:color="auto"/>
        </w:pBdr>
        <w:spacing w:after="0"/>
      </w:pPr>
    </w:p>
    <w:p w14:paraId="1D30590E" w14:textId="77777777" w:rsidR="00DD52BA" w:rsidRDefault="00000000">
      <w:pPr>
        <w:pStyle w:val="Heading2"/>
      </w:pPr>
      <w:r>
        <w:t>5. Pre‑Trial Reviews (PTRs) and Trial Readiness</w:t>
      </w:r>
    </w:p>
    <w:p w14:paraId="19106AB7" w14:textId="77777777" w:rsidR="00DD52BA" w:rsidRDefault="00000000">
      <w:pPr>
        <w:pStyle w:val="Heading3"/>
      </w:pPr>
      <w:r>
        <w:t>5.1 Non‑RASSO Cases (&lt; 10 Days)</w:t>
      </w:r>
    </w:p>
    <w:p w14:paraId="25128ACE" w14:textId="77777777" w:rsidR="00DD52BA" w:rsidRDefault="00000000">
      <w:r>
        <w:t xml:space="preserve">For all non‑RASSO trials with a time estimate of </w:t>
      </w:r>
      <w:r>
        <w:rPr>
          <w:b/>
          <w:bCs/>
        </w:rPr>
        <w:t>less than 10 days</w:t>
      </w:r>
      <w:r>
        <w:t>:</w:t>
      </w:r>
    </w:p>
    <w:p w14:paraId="69089F2E" w14:textId="77777777" w:rsidR="00DD52BA" w:rsidRDefault="00000000">
      <w:pPr>
        <w:pStyle w:val="ListParagraph"/>
        <w:numPr>
          <w:ilvl w:val="0"/>
          <w:numId w:val="11"/>
        </w:numPr>
      </w:pPr>
      <w:r>
        <w:t xml:space="preserve">A </w:t>
      </w:r>
      <w:r>
        <w:rPr>
          <w:b/>
          <w:bCs/>
        </w:rPr>
        <w:t>PTR will be listed 10–12 weeks before trial</w:t>
      </w:r>
      <w:r>
        <w:t>;</w:t>
      </w:r>
    </w:p>
    <w:p w14:paraId="0E8D3063" w14:textId="77777777" w:rsidR="00DD52BA" w:rsidRDefault="00000000">
      <w:pPr>
        <w:pStyle w:val="ListParagraph"/>
        <w:numPr>
          <w:ilvl w:val="0"/>
          <w:numId w:val="11"/>
        </w:numPr>
      </w:pPr>
      <w:r>
        <w:t xml:space="preserve">For new cases, this PTR will be fixed at </w:t>
      </w:r>
      <w:proofErr w:type="spellStart"/>
      <w:r>
        <w:t>PTPH</w:t>
      </w:r>
      <w:proofErr w:type="spellEnd"/>
      <w:r>
        <w:t>;</w:t>
      </w:r>
    </w:p>
    <w:p w14:paraId="6A7871AD" w14:textId="77777777" w:rsidR="00DD52BA" w:rsidRDefault="00000000">
      <w:pPr>
        <w:pStyle w:val="ListParagraph"/>
        <w:numPr>
          <w:ilvl w:val="0"/>
          <w:numId w:val="11"/>
        </w:numPr>
      </w:pPr>
      <w:r>
        <w:rPr>
          <w:b/>
          <w:bCs/>
        </w:rPr>
        <w:t>No other intermediate hearings</w:t>
      </w:r>
      <w:r>
        <w:t xml:space="preserve"> should be fixed unless there is a specific identified need.</w:t>
      </w:r>
    </w:p>
    <w:p w14:paraId="30CC562F" w14:textId="77777777" w:rsidR="00DD52BA" w:rsidRDefault="00000000">
      <w:pPr>
        <w:pStyle w:val="Heading3"/>
      </w:pPr>
      <w:r>
        <w:t>5.2 RASSO Cases</w:t>
      </w:r>
    </w:p>
    <w:p w14:paraId="0F999054" w14:textId="77777777" w:rsidR="00DD52BA" w:rsidRDefault="00000000">
      <w:pPr>
        <w:pStyle w:val="ListParagraph"/>
        <w:numPr>
          <w:ilvl w:val="0"/>
          <w:numId w:val="12"/>
        </w:numPr>
      </w:pPr>
      <w:r>
        <w:t>RASSO cases may require closer management, particularly for disclosure and section 28 issues;</w:t>
      </w:r>
    </w:p>
    <w:p w14:paraId="3EAA8DC7" w14:textId="77777777" w:rsidR="00DD52BA" w:rsidRDefault="00000000">
      <w:pPr>
        <w:pStyle w:val="ListParagraph"/>
        <w:numPr>
          <w:ilvl w:val="0"/>
          <w:numId w:val="12"/>
        </w:numPr>
      </w:pPr>
      <w:r>
        <w:t>Intermediate hearings may be required;</w:t>
      </w:r>
    </w:p>
    <w:p w14:paraId="1F6C45CA" w14:textId="77777777" w:rsidR="00DD52BA" w:rsidRDefault="00000000">
      <w:pPr>
        <w:pStyle w:val="ListParagraph"/>
        <w:numPr>
          <w:ilvl w:val="0"/>
          <w:numId w:val="12"/>
        </w:numPr>
      </w:pPr>
      <w:r>
        <w:t>A 10–12 week PTR will generally still be beneficial.</w:t>
      </w:r>
    </w:p>
    <w:p w14:paraId="7CEB60BD" w14:textId="77777777" w:rsidR="00DD52BA" w:rsidRDefault="00000000">
      <w:pPr>
        <w:pStyle w:val="Heading3"/>
      </w:pPr>
      <w:r>
        <w:lastRenderedPageBreak/>
        <w:t>5.3 Longer or Complex Trials (&gt; 10 Days)</w:t>
      </w:r>
    </w:p>
    <w:p w14:paraId="6B28492B" w14:textId="77777777" w:rsidR="00DD52BA" w:rsidRDefault="00000000">
      <w:pPr>
        <w:pStyle w:val="ListParagraph"/>
        <w:numPr>
          <w:ilvl w:val="0"/>
          <w:numId w:val="13"/>
        </w:numPr>
      </w:pPr>
      <w:r>
        <w:t>Intermediate hearings remain the exception, not the norm;</w:t>
      </w:r>
    </w:p>
    <w:p w14:paraId="4C5DEDFC" w14:textId="77777777" w:rsidR="00DD52BA" w:rsidRDefault="00000000">
      <w:pPr>
        <w:pStyle w:val="ListParagraph"/>
        <w:numPr>
          <w:ilvl w:val="0"/>
          <w:numId w:val="13"/>
        </w:numPr>
      </w:pPr>
      <w:r>
        <w:t>Parties remain responsible for trial readiness;</w:t>
      </w:r>
    </w:p>
    <w:p w14:paraId="4C9B79EF" w14:textId="77777777" w:rsidR="00DD52BA" w:rsidRDefault="00000000">
      <w:pPr>
        <w:pStyle w:val="ListParagraph"/>
        <w:numPr>
          <w:ilvl w:val="0"/>
          <w:numId w:val="13"/>
        </w:numPr>
      </w:pPr>
      <w:r>
        <w:t>A 10–12 week PTR will usually be listed.</w:t>
      </w:r>
    </w:p>
    <w:p w14:paraId="3EA4F603" w14:textId="77777777" w:rsidR="00DD52BA" w:rsidRDefault="00000000">
      <w:pPr>
        <w:pStyle w:val="Heading3"/>
      </w:pPr>
      <w:r>
        <w:t>5.4 PTR Procedure</w:t>
      </w:r>
    </w:p>
    <w:p w14:paraId="665F9C50" w14:textId="77777777" w:rsidR="00DD52BA" w:rsidRDefault="00000000">
      <w:pPr>
        <w:pStyle w:val="ListParagraph"/>
        <w:numPr>
          <w:ilvl w:val="0"/>
          <w:numId w:val="14"/>
        </w:numPr>
      </w:pPr>
      <w:r>
        <w:t xml:space="preserve">A </w:t>
      </w:r>
      <w:r>
        <w:rPr>
          <w:b/>
          <w:bCs/>
        </w:rPr>
        <w:t>revised Trial Readiness Form</w:t>
      </w:r>
      <w:r>
        <w:t xml:space="preserve"> must be completed in advance;</w:t>
      </w:r>
    </w:p>
    <w:p w14:paraId="6D6BB04A" w14:textId="77777777" w:rsidR="00DD52BA" w:rsidRDefault="00000000">
      <w:pPr>
        <w:pStyle w:val="ListParagraph"/>
        <w:numPr>
          <w:ilvl w:val="0"/>
          <w:numId w:val="14"/>
        </w:numPr>
      </w:pPr>
      <w:r>
        <w:t xml:space="preserve">At the PTR, the court will review readiness, confirm or revise estimates, and </w:t>
      </w:r>
      <w:r>
        <w:rPr>
          <w:b/>
          <w:bCs/>
        </w:rPr>
        <w:t>identify any external commitments (including cross‑court commitments) affecting trial progression</w:t>
      </w:r>
      <w:r>
        <w:t>.</w:t>
      </w:r>
    </w:p>
    <w:p w14:paraId="1CC82F83" w14:textId="77777777" w:rsidR="00DD52BA" w:rsidRDefault="00000000">
      <w:r>
        <w:t xml:space="preserve">Where appropriate, a further PTR may be listed approximately </w:t>
      </w:r>
      <w:r>
        <w:rPr>
          <w:b/>
          <w:bCs/>
        </w:rPr>
        <w:t>3 weeks before trial</w:t>
      </w:r>
      <w:r>
        <w:t>. Failure to demonstrate readiness may result in the trial being vacated.</w:t>
      </w:r>
    </w:p>
    <w:p w14:paraId="44EAFD9C" w14:textId="77777777" w:rsidR="00DD52BA" w:rsidRDefault="00DD52BA">
      <w:pPr>
        <w:pBdr>
          <w:top w:val="single" w:sz="12" w:space="0" w:color="auto"/>
        </w:pBdr>
        <w:spacing w:after="0"/>
      </w:pPr>
    </w:p>
    <w:p w14:paraId="540C5E3D" w14:textId="77777777" w:rsidR="00DD52BA" w:rsidRDefault="00000000">
      <w:pPr>
        <w:pStyle w:val="Heading2"/>
      </w:pPr>
      <w:r>
        <w:t>6. Expedited Trial Scheme – Domestic Abuse Cases</w:t>
      </w:r>
    </w:p>
    <w:p w14:paraId="4BC5334E" w14:textId="77777777" w:rsidR="00DD52BA" w:rsidRDefault="00000000">
      <w:r>
        <w:t>With immediate effect:</w:t>
      </w:r>
    </w:p>
    <w:p w14:paraId="79BFE0BE" w14:textId="77777777" w:rsidR="00DD52BA" w:rsidRDefault="00000000">
      <w:pPr>
        <w:pStyle w:val="ListParagraph"/>
        <w:numPr>
          <w:ilvl w:val="0"/>
          <w:numId w:val="15"/>
        </w:numPr>
      </w:pPr>
      <w:r>
        <w:rPr>
          <w:b/>
          <w:bCs/>
        </w:rPr>
        <w:t>All domestic abuse cases</w:t>
      </w:r>
      <w:r>
        <w:t xml:space="preserve"> with a trial estimate of </w:t>
      </w:r>
      <w:r>
        <w:rPr>
          <w:b/>
          <w:bCs/>
        </w:rPr>
        <w:t>less than 3 days</w:t>
      </w:r>
      <w:r>
        <w:t xml:space="preserve"> should be considered at </w:t>
      </w:r>
      <w:proofErr w:type="spellStart"/>
      <w:r>
        <w:t>PTPH</w:t>
      </w:r>
      <w:proofErr w:type="spellEnd"/>
      <w:r>
        <w:t xml:space="preserve"> for inclusion in the expedited trial scheme;</w:t>
      </w:r>
    </w:p>
    <w:p w14:paraId="37E9D3D8" w14:textId="77777777" w:rsidR="00DD52BA" w:rsidRDefault="00000000">
      <w:pPr>
        <w:pStyle w:val="ListParagraph"/>
        <w:numPr>
          <w:ilvl w:val="0"/>
          <w:numId w:val="15"/>
        </w:numPr>
      </w:pPr>
      <w:r>
        <w:t xml:space="preserve">Stage 1 compliance at </w:t>
      </w:r>
      <w:proofErr w:type="spellStart"/>
      <w:r>
        <w:t>PTPH</w:t>
      </w:r>
      <w:proofErr w:type="spellEnd"/>
      <w:r>
        <w:t xml:space="preserve"> is </w:t>
      </w:r>
      <w:r>
        <w:rPr>
          <w:b/>
          <w:bCs/>
        </w:rPr>
        <w:t>no longer a prerequisite</w:t>
      </w:r>
      <w:r>
        <w:t>.</w:t>
      </w:r>
    </w:p>
    <w:p w14:paraId="4B94D5A5" w14:textId="77777777" w:rsidR="00DD52BA" w:rsidRDefault="00DD52BA">
      <w:pPr>
        <w:pBdr>
          <w:top w:val="single" w:sz="12" w:space="0" w:color="auto"/>
        </w:pBdr>
        <w:spacing w:after="0"/>
      </w:pPr>
    </w:p>
    <w:p w14:paraId="69688BAE" w14:textId="77777777" w:rsidR="00DD52BA" w:rsidRDefault="00000000">
      <w:pPr>
        <w:pStyle w:val="Heading2"/>
      </w:pPr>
      <w:r>
        <w:t>7. Cases Likely to Resolve (Early Trial Dates)</w:t>
      </w:r>
    </w:p>
    <w:p w14:paraId="68C97CA8" w14:textId="77777777" w:rsidR="00DD52BA" w:rsidRDefault="00000000">
      <w:pPr>
        <w:pStyle w:val="Heading3"/>
      </w:pPr>
      <w:r>
        <w:t xml:space="preserve">7.1 Identification at </w:t>
      </w:r>
      <w:proofErr w:type="spellStart"/>
      <w:r>
        <w:t>PTPH</w:t>
      </w:r>
      <w:proofErr w:type="spellEnd"/>
    </w:p>
    <w:p w14:paraId="0AE45842" w14:textId="77777777" w:rsidR="00DD52BA" w:rsidRDefault="00000000">
      <w:r>
        <w:t xml:space="preserve">Where a judge considers a case </w:t>
      </w:r>
      <w:r>
        <w:rPr>
          <w:b/>
          <w:bCs/>
        </w:rPr>
        <w:t>very likely to resolve</w:t>
      </w:r>
      <w:r>
        <w:t>:</w:t>
      </w:r>
    </w:p>
    <w:p w14:paraId="78016D3E" w14:textId="77777777" w:rsidR="00DD52BA" w:rsidRDefault="00000000">
      <w:pPr>
        <w:pStyle w:val="ListParagraph"/>
        <w:numPr>
          <w:ilvl w:val="0"/>
          <w:numId w:val="16"/>
        </w:numPr>
      </w:pPr>
      <w:r>
        <w:t xml:space="preserve">A trial date will be obtained </w:t>
      </w:r>
      <w:r>
        <w:rPr>
          <w:b/>
          <w:bCs/>
        </w:rPr>
        <w:t xml:space="preserve">within 12–16 weeks of </w:t>
      </w:r>
      <w:proofErr w:type="spellStart"/>
      <w:r>
        <w:rPr>
          <w:b/>
          <w:bCs/>
        </w:rPr>
        <w:t>PTPH</w:t>
      </w:r>
      <w:proofErr w:type="spellEnd"/>
      <w:r>
        <w:t>;</w:t>
      </w:r>
    </w:p>
    <w:p w14:paraId="0DA0D360" w14:textId="5DC98BFE" w:rsidR="00DD52BA" w:rsidRDefault="00000000">
      <w:pPr>
        <w:pStyle w:val="ListParagraph"/>
        <w:numPr>
          <w:ilvl w:val="0"/>
          <w:numId w:val="16"/>
        </w:numPr>
      </w:pPr>
      <w:r>
        <w:t xml:space="preserve">The case will be placed into a </w:t>
      </w:r>
      <w:r>
        <w:rPr>
          <w:b/>
          <w:bCs/>
        </w:rPr>
        <w:t>separate F</w:t>
      </w:r>
      <w:r w:rsidR="003343FF">
        <w:rPr>
          <w:b/>
          <w:bCs/>
        </w:rPr>
        <w:t xml:space="preserve">orward </w:t>
      </w:r>
      <w:r>
        <w:rPr>
          <w:b/>
          <w:bCs/>
        </w:rPr>
        <w:t>L</w:t>
      </w:r>
      <w:r w:rsidR="003343FF">
        <w:rPr>
          <w:b/>
          <w:bCs/>
        </w:rPr>
        <w:t xml:space="preserve">isting </w:t>
      </w:r>
      <w:r>
        <w:rPr>
          <w:b/>
          <w:bCs/>
        </w:rPr>
        <w:t>O</w:t>
      </w:r>
      <w:r w:rsidR="003343FF">
        <w:rPr>
          <w:b/>
          <w:bCs/>
        </w:rPr>
        <w:t xml:space="preserve">fficer (FLO) </w:t>
      </w:r>
      <w:r>
        <w:rPr>
          <w:b/>
          <w:bCs/>
        </w:rPr>
        <w:t>managed list</w:t>
      </w:r>
      <w:r>
        <w:t>;</w:t>
      </w:r>
    </w:p>
    <w:p w14:paraId="2F1CD1B4" w14:textId="77777777" w:rsidR="00DD52BA" w:rsidRDefault="00000000">
      <w:pPr>
        <w:pStyle w:val="ListParagraph"/>
        <w:numPr>
          <w:ilvl w:val="0"/>
          <w:numId w:val="16"/>
        </w:numPr>
      </w:pPr>
      <w:r>
        <w:t xml:space="preserve">A PTR will be listed </w:t>
      </w:r>
      <w:r>
        <w:rPr>
          <w:b/>
          <w:bCs/>
        </w:rPr>
        <w:t>3–4 weeks before trial</w:t>
      </w:r>
      <w:r>
        <w:t>.</w:t>
      </w:r>
    </w:p>
    <w:p w14:paraId="11818C47" w14:textId="77777777" w:rsidR="00DD52BA" w:rsidRDefault="00000000">
      <w:pPr>
        <w:pStyle w:val="Heading3"/>
      </w:pPr>
      <w:r>
        <w:t>7.2 Typical Characteristics</w:t>
      </w:r>
    </w:p>
    <w:p w14:paraId="4559657E" w14:textId="77777777" w:rsidR="00DD52BA" w:rsidRDefault="00000000">
      <w:r>
        <w:t>Such cases will generally:</w:t>
      </w:r>
    </w:p>
    <w:p w14:paraId="43FEE339" w14:textId="77777777" w:rsidR="00DD52BA" w:rsidRDefault="00000000">
      <w:pPr>
        <w:pStyle w:val="ListParagraph"/>
        <w:numPr>
          <w:ilvl w:val="0"/>
          <w:numId w:val="17"/>
        </w:numPr>
      </w:pPr>
      <w:r>
        <w:t>Be trial‑ready within 3–4 months;</w:t>
      </w:r>
    </w:p>
    <w:p w14:paraId="18DE558E" w14:textId="77777777" w:rsidR="00DD52BA" w:rsidRDefault="00000000">
      <w:pPr>
        <w:pStyle w:val="ListParagraph"/>
        <w:numPr>
          <w:ilvl w:val="0"/>
          <w:numId w:val="17"/>
        </w:numPr>
      </w:pPr>
      <w:r>
        <w:t>Be short (often &lt; 5 days);</w:t>
      </w:r>
    </w:p>
    <w:p w14:paraId="25483E10" w14:textId="77777777" w:rsidR="00DD52BA" w:rsidRDefault="00000000">
      <w:pPr>
        <w:pStyle w:val="ListParagraph"/>
        <w:numPr>
          <w:ilvl w:val="0"/>
          <w:numId w:val="17"/>
        </w:numPr>
      </w:pPr>
      <w:r>
        <w:t>Involve a single defendant.</w:t>
      </w:r>
    </w:p>
    <w:p w14:paraId="06301C71" w14:textId="77777777" w:rsidR="00DD52BA" w:rsidRDefault="00000000">
      <w:r>
        <w:t xml:space="preserve">These slots must </w:t>
      </w:r>
      <w:r>
        <w:rPr>
          <w:b/>
          <w:bCs/>
        </w:rPr>
        <w:t>not</w:t>
      </w:r>
      <w:r>
        <w:t xml:space="preserve"> be used for priority trials requiring early listing.</w:t>
      </w:r>
    </w:p>
    <w:p w14:paraId="3DEEC669" w14:textId="77777777" w:rsidR="00DD52BA" w:rsidRDefault="00DD52BA">
      <w:pPr>
        <w:pBdr>
          <w:top w:val="single" w:sz="12" w:space="0" w:color="auto"/>
        </w:pBdr>
        <w:spacing w:after="0"/>
      </w:pPr>
    </w:p>
    <w:p w14:paraId="585AB7E1" w14:textId="77777777" w:rsidR="00DD52BA" w:rsidRDefault="00000000">
      <w:pPr>
        <w:pStyle w:val="Heading2"/>
      </w:pPr>
      <w:r>
        <w:t>8. Judicial Administrative Weeks</w:t>
      </w:r>
    </w:p>
    <w:p w14:paraId="49129A7A" w14:textId="77777777" w:rsidR="00DD52BA" w:rsidRDefault="00000000">
      <w:r>
        <w:t>Judicial administrative weeks will be used to support:</w:t>
      </w:r>
    </w:p>
    <w:p w14:paraId="23F24B49" w14:textId="77777777" w:rsidR="00DD52BA" w:rsidRDefault="00000000">
      <w:pPr>
        <w:pStyle w:val="ListParagraph"/>
        <w:numPr>
          <w:ilvl w:val="0"/>
          <w:numId w:val="18"/>
        </w:numPr>
      </w:pPr>
      <w:r>
        <w:t>Identification of cases capable of early resolution;</w:t>
      </w:r>
    </w:p>
    <w:p w14:paraId="253C48C0" w14:textId="77777777" w:rsidR="00DD52BA" w:rsidRDefault="00000000">
      <w:pPr>
        <w:pStyle w:val="ListParagraph"/>
        <w:numPr>
          <w:ilvl w:val="0"/>
          <w:numId w:val="18"/>
        </w:numPr>
      </w:pPr>
      <w:r>
        <w:t>Removal of unnecessary hearings;</w:t>
      </w:r>
    </w:p>
    <w:p w14:paraId="54888B76" w14:textId="77777777" w:rsidR="00DD52BA" w:rsidRDefault="00000000">
      <w:pPr>
        <w:pStyle w:val="ListParagraph"/>
        <w:numPr>
          <w:ilvl w:val="0"/>
          <w:numId w:val="18"/>
        </w:numPr>
      </w:pPr>
      <w:r>
        <w:t>Administrative determination of appropriate applications;</w:t>
      </w:r>
    </w:p>
    <w:p w14:paraId="10CD2547" w14:textId="6AE2A0FA" w:rsidR="00DD52BA" w:rsidRDefault="007811DE">
      <w:pPr>
        <w:pStyle w:val="ListParagraph"/>
        <w:numPr>
          <w:ilvl w:val="0"/>
          <w:numId w:val="18"/>
        </w:numPr>
      </w:pPr>
      <w:r>
        <w:t>Identifying priority sex trials before referral to the RASSO Unit.</w:t>
      </w:r>
    </w:p>
    <w:p w14:paraId="78199939" w14:textId="77777777" w:rsidR="00DD52BA" w:rsidRDefault="00000000">
      <w:r>
        <w:t>Practitioners should expect increased administrative decision‑making and fewer routine hearings.</w:t>
      </w:r>
    </w:p>
    <w:p w14:paraId="3656B9AB" w14:textId="77777777" w:rsidR="00DD52BA" w:rsidRDefault="00DD52BA">
      <w:pPr>
        <w:pBdr>
          <w:top w:val="single" w:sz="12" w:space="0" w:color="auto"/>
        </w:pBdr>
        <w:spacing w:after="0"/>
      </w:pPr>
    </w:p>
    <w:p w14:paraId="2F891A02" w14:textId="77777777" w:rsidR="00DD52BA" w:rsidRDefault="00000000">
      <w:pPr>
        <w:pStyle w:val="Heading2"/>
      </w:pPr>
      <w:r>
        <w:t>9. Cross‑Courting and Daily Listing</w:t>
      </w:r>
    </w:p>
    <w:p w14:paraId="38EDCD6A" w14:textId="77777777" w:rsidR="00DD52BA" w:rsidRDefault="00000000">
      <w:pPr>
        <w:pStyle w:val="Heading3"/>
      </w:pPr>
      <w:r>
        <w:t>9.1 General Principle</w:t>
      </w:r>
    </w:p>
    <w:p w14:paraId="03BB80A7" w14:textId="77777777" w:rsidR="00DD52BA" w:rsidRDefault="00000000">
      <w:r>
        <w:t xml:space="preserve">Cross‑courting of advocates has long been a feature of Crown Court practice. However, unmanaged cross‑courting can </w:t>
      </w:r>
      <w:r>
        <w:rPr>
          <w:b/>
          <w:bCs/>
        </w:rPr>
        <w:t>adversely affect the efficient use of courtrooms and judicial time</w:t>
      </w:r>
      <w:r>
        <w:t xml:space="preserve"> and must therefore be actively managed.</w:t>
      </w:r>
    </w:p>
    <w:p w14:paraId="5EC28CD9" w14:textId="77777777" w:rsidR="00DD52BA" w:rsidRDefault="00000000">
      <w:pPr>
        <w:pStyle w:val="Heading3"/>
      </w:pPr>
      <w:r>
        <w:t>9.2 Advocate Responsibilities</w:t>
      </w:r>
    </w:p>
    <w:p w14:paraId="64BAE000" w14:textId="77777777" w:rsidR="00DD52BA" w:rsidRDefault="00000000">
      <w:pPr>
        <w:pStyle w:val="ListParagraph"/>
        <w:numPr>
          <w:ilvl w:val="0"/>
          <w:numId w:val="19"/>
        </w:numPr>
      </w:pPr>
      <w:r>
        <w:t xml:space="preserve">Advocates must, </w:t>
      </w:r>
      <w:r>
        <w:rPr>
          <w:b/>
          <w:bCs/>
        </w:rPr>
        <w:t>so far as reasonably possible</w:t>
      </w:r>
      <w:r>
        <w:t>, avoid other professional commitments when engaged in trials.</w:t>
      </w:r>
    </w:p>
    <w:p w14:paraId="6DF81ACD" w14:textId="77777777" w:rsidR="00DD52BA" w:rsidRDefault="00000000">
      <w:pPr>
        <w:pStyle w:val="ListParagraph"/>
        <w:numPr>
          <w:ilvl w:val="0"/>
          <w:numId w:val="19"/>
        </w:numPr>
      </w:pPr>
      <w:r>
        <w:t xml:space="preserve">If an advocate </w:t>
      </w:r>
      <w:r>
        <w:rPr>
          <w:b/>
          <w:bCs/>
        </w:rPr>
        <w:t>knows of another commitment before a trial commences</w:t>
      </w:r>
      <w:r>
        <w:t xml:space="preserve">, the </w:t>
      </w:r>
      <w:r>
        <w:rPr>
          <w:b/>
          <w:bCs/>
        </w:rPr>
        <w:t>trial judge must be informed</w:t>
      </w:r>
      <w:r>
        <w:t xml:space="preserve"> at the earliest opportunity so that the timing of the trial can be discussed and, where appropriate, adjusted.</w:t>
      </w:r>
    </w:p>
    <w:p w14:paraId="1B063F35" w14:textId="77777777" w:rsidR="00DD52BA" w:rsidRDefault="00000000">
      <w:pPr>
        <w:pStyle w:val="Heading3"/>
      </w:pPr>
      <w:r>
        <w:t>9.3 List Work and Fixed Times</w:t>
      </w:r>
    </w:p>
    <w:p w14:paraId="1FCCFB51" w14:textId="77777777" w:rsidR="00DD52BA" w:rsidRDefault="00000000">
      <w:pPr>
        <w:pStyle w:val="ListParagraph"/>
        <w:numPr>
          <w:ilvl w:val="0"/>
          <w:numId w:val="20"/>
        </w:numPr>
      </w:pPr>
      <w:r>
        <w:t xml:space="preserve">Advocates and clerks engaged across courts in </w:t>
      </w:r>
      <w:r>
        <w:rPr>
          <w:b/>
          <w:bCs/>
        </w:rPr>
        <w:t>list work</w:t>
      </w:r>
      <w:r>
        <w:t xml:space="preserve"> should note that </w:t>
      </w:r>
      <w:r>
        <w:rPr>
          <w:b/>
          <w:bCs/>
        </w:rPr>
        <w:t>fixed times are generally given only to PVL cases</w:t>
      </w:r>
      <w:r>
        <w:t>.</w:t>
      </w:r>
    </w:p>
    <w:p w14:paraId="323F52D4" w14:textId="77777777" w:rsidR="00DD52BA" w:rsidRDefault="00000000">
      <w:pPr>
        <w:pStyle w:val="ListParagraph"/>
        <w:numPr>
          <w:ilvl w:val="0"/>
          <w:numId w:val="20"/>
        </w:numPr>
      </w:pPr>
      <w:r>
        <w:t xml:space="preserve">There is therefore flexibility in the daily list: </w:t>
      </w:r>
      <w:r>
        <w:rPr>
          <w:b/>
          <w:bCs/>
        </w:rPr>
        <w:t>list order is not rigidly observed</w:t>
      </w:r>
      <w:r>
        <w:t>.</w:t>
      </w:r>
    </w:p>
    <w:p w14:paraId="3F162B79" w14:textId="77777777" w:rsidR="00DD52BA" w:rsidRDefault="00000000">
      <w:pPr>
        <w:pStyle w:val="Heading3"/>
      </w:pPr>
      <w:r>
        <w:t>9.4 Coordination and Court Communication</w:t>
      </w:r>
    </w:p>
    <w:p w14:paraId="2101FE9B" w14:textId="77777777" w:rsidR="00DD52BA" w:rsidRDefault="00000000">
      <w:pPr>
        <w:pStyle w:val="ListParagraph"/>
        <w:numPr>
          <w:ilvl w:val="0"/>
          <w:numId w:val="21"/>
        </w:numPr>
      </w:pPr>
      <w:r>
        <w:t>Judges and court clerks will seek to keep courts running without significant breaks to await counsel.</w:t>
      </w:r>
    </w:p>
    <w:p w14:paraId="3FFE00EF" w14:textId="77777777" w:rsidR="00DD52BA" w:rsidRDefault="00000000">
      <w:pPr>
        <w:pStyle w:val="ListParagraph"/>
        <w:numPr>
          <w:ilvl w:val="0"/>
          <w:numId w:val="21"/>
        </w:numPr>
      </w:pPr>
      <w:r>
        <w:t>This requires that advocates:</w:t>
      </w:r>
    </w:p>
    <w:p w14:paraId="7634CF4D" w14:textId="02D44F0D" w:rsidR="00DD52BA" w:rsidRDefault="00000000">
      <w:pPr>
        <w:pStyle w:val="ListParagraph"/>
        <w:numPr>
          <w:ilvl w:val="1"/>
          <w:numId w:val="21"/>
        </w:numPr>
      </w:pPr>
      <w:r>
        <w:t>Ensure court clerks are aware of their involvement in cases across different courts</w:t>
      </w:r>
      <w:r w:rsidR="001B6A61">
        <w:t xml:space="preserve">, </w:t>
      </w:r>
      <w:r w:rsidR="001B6A61">
        <w:rPr>
          <w:b/>
          <w:bCs/>
        </w:rPr>
        <w:t xml:space="preserve">this requires compliance by advocates with the </w:t>
      </w:r>
      <w:proofErr w:type="spellStart"/>
      <w:r w:rsidR="001B6A61">
        <w:rPr>
          <w:b/>
          <w:bCs/>
        </w:rPr>
        <w:t>DCS</w:t>
      </w:r>
      <w:proofErr w:type="spellEnd"/>
      <w:r w:rsidR="001B6A61">
        <w:rPr>
          <w:b/>
          <w:bCs/>
        </w:rPr>
        <w:t xml:space="preserve"> Protocol</w:t>
      </w:r>
      <w:r>
        <w:t>;</w:t>
      </w:r>
    </w:p>
    <w:p w14:paraId="23E98529" w14:textId="77777777" w:rsidR="00DD52BA" w:rsidRDefault="00000000">
      <w:pPr>
        <w:pStyle w:val="ListParagraph"/>
        <w:numPr>
          <w:ilvl w:val="1"/>
          <w:numId w:val="21"/>
        </w:numPr>
      </w:pPr>
      <w:r>
        <w:lastRenderedPageBreak/>
        <w:t xml:space="preserve">Work cooperatively with other counsel to </w:t>
      </w:r>
      <w:r>
        <w:rPr>
          <w:b/>
          <w:bCs/>
        </w:rPr>
        <w:t>coordinate appearances and availability</w:t>
      </w:r>
      <w:r>
        <w:t>;</w:t>
      </w:r>
    </w:p>
    <w:p w14:paraId="7B4DC7C2" w14:textId="77777777" w:rsidR="00DD52BA" w:rsidRDefault="00000000">
      <w:pPr>
        <w:pStyle w:val="ListParagraph"/>
        <w:numPr>
          <w:ilvl w:val="1"/>
          <w:numId w:val="21"/>
        </w:numPr>
      </w:pPr>
      <w:r>
        <w:t>Proactively manage and communicate competing commitments.</w:t>
      </w:r>
    </w:p>
    <w:p w14:paraId="04A53BEE" w14:textId="77777777" w:rsidR="00DD52BA" w:rsidRDefault="00000000">
      <w:r>
        <w:t xml:space="preserve">Effective communication and professional cooperation are essential to </w:t>
      </w:r>
      <w:proofErr w:type="spellStart"/>
      <w:r>
        <w:t>minimise</w:t>
      </w:r>
      <w:proofErr w:type="spellEnd"/>
      <w:r>
        <w:t xml:space="preserve"> delay and avoid wasted court time.</w:t>
      </w:r>
    </w:p>
    <w:p w14:paraId="45FB0818" w14:textId="77777777" w:rsidR="00DD52BA" w:rsidRDefault="00DD52BA">
      <w:pPr>
        <w:pBdr>
          <w:top w:val="single" w:sz="12" w:space="0" w:color="auto"/>
        </w:pBdr>
        <w:spacing w:after="0"/>
      </w:pPr>
    </w:p>
    <w:p w14:paraId="36BE3284" w14:textId="77777777" w:rsidR="00DD52BA" w:rsidRDefault="00000000">
      <w:pPr>
        <w:pStyle w:val="Heading2"/>
      </w:pPr>
      <w:r>
        <w:t>10. Compliance</w:t>
      </w:r>
    </w:p>
    <w:p w14:paraId="214E0860" w14:textId="77777777" w:rsidR="00DD52BA" w:rsidRDefault="00000000">
      <w:pPr>
        <w:rPr>
          <w:b/>
          <w:bCs/>
        </w:rPr>
      </w:pPr>
      <w:r>
        <w:t xml:space="preserve">This Protocol is to be read alongside the </w:t>
      </w:r>
      <w:r>
        <w:rPr>
          <w:b/>
          <w:bCs/>
        </w:rPr>
        <w:t>Criminal Procedure Rules</w:t>
      </w:r>
      <w:r>
        <w:t xml:space="preserve"> and applicable national guidance. </w:t>
      </w:r>
      <w:r>
        <w:rPr>
          <w:b/>
          <w:bCs/>
        </w:rPr>
        <w:t>Non‑compliance may result in adverse listing or case management decisions.</w:t>
      </w:r>
    </w:p>
    <w:p w14:paraId="06FF2DEA" w14:textId="665DF287" w:rsidR="00B37FC2" w:rsidRPr="00B37FC2" w:rsidRDefault="00B37FC2">
      <w:r>
        <w:t>The Protocol and the revised PTR form have been distributed to</w:t>
      </w:r>
      <w:r w:rsidR="00CC3472">
        <w:t xml:space="preserve"> all </w:t>
      </w:r>
      <w:r w:rsidR="00751EA5">
        <w:t>Manchester chambers and to the Manchester Law Society. The Protocol and the revised PTR form will appear at Section 1 on new cases on</w:t>
      </w:r>
      <w:r w:rsidR="001B6A61">
        <w:t xml:space="preserve"> the</w:t>
      </w:r>
      <w:r w:rsidR="00751EA5">
        <w:t xml:space="preserve"> </w:t>
      </w:r>
      <w:proofErr w:type="spellStart"/>
      <w:r w:rsidR="00751EA5">
        <w:t>DCS</w:t>
      </w:r>
      <w:proofErr w:type="spellEnd"/>
      <w:r w:rsidR="003343FF">
        <w:t xml:space="preserve"> and will be available for downloading on the Northern Circuit website (Helpful Information – Greater Manchester Crown Courts).</w:t>
      </w:r>
    </w:p>
    <w:p w14:paraId="401B211A" w14:textId="77777777" w:rsidR="00DD52BA" w:rsidRDefault="00000000">
      <w:pPr>
        <w:rPr>
          <w:i/>
          <w:iCs/>
        </w:rPr>
      </w:pPr>
      <w:r>
        <w:rPr>
          <w:i/>
          <w:iCs/>
        </w:rPr>
        <w:t>Issued for the assistance of Greater Manchester Crown Court practitioners.</w:t>
      </w:r>
    </w:p>
    <w:p w14:paraId="641DC380" w14:textId="77777777" w:rsidR="00AB4569" w:rsidRDefault="00AB4569">
      <w:pPr>
        <w:rPr>
          <w:i/>
          <w:iCs/>
        </w:rPr>
      </w:pPr>
    </w:p>
    <w:p w14:paraId="4D7D6203" w14:textId="76E5478A" w:rsidR="00AB4569" w:rsidRDefault="00AB4569">
      <w:r>
        <w:t>HH Judge Nicholas Dean K.C.</w:t>
      </w:r>
    </w:p>
    <w:p w14:paraId="0FE9FAC9" w14:textId="13396F5F" w:rsidR="00AB4569" w:rsidRDefault="00AB4569">
      <w:r>
        <w:t>HH Judge Maurice Greene</w:t>
      </w:r>
    </w:p>
    <w:p w14:paraId="437AF5D7" w14:textId="077ED679" w:rsidR="00AB4569" w:rsidRDefault="00AB4569">
      <w:r>
        <w:t>HH Judge Nicholas Clarke K.C.</w:t>
      </w:r>
    </w:p>
    <w:p w14:paraId="37C82EEA" w14:textId="77777777" w:rsidR="00AB4569" w:rsidRDefault="00AB4569"/>
    <w:p w14:paraId="7DC1958A" w14:textId="77777777" w:rsidR="00AB4569" w:rsidRDefault="00AB4569"/>
    <w:p w14:paraId="47D5B740" w14:textId="64CD4C96" w:rsidR="00AB4569" w:rsidRPr="00AB4569" w:rsidRDefault="00AB4569" w:rsidP="00AB4569">
      <w:pPr>
        <w:jc w:val="right"/>
      </w:pPr>
      <w:r>
        <w:t>27 March 2026</w:t>
      </w:r>
    </w:p>
    <w:sectPr w:rsidR="00AB4569" w:rsidRPr="00AB456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A200"/>
    <w:multiLevelType w:val="hybridMultilevel"/>
    <w:tmpl w:val="0400B274"/>
    <w:lvl w:ilvl="0" w:tplc="9B1E49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FA61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D2E303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52ECE3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162D9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B1A62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3ADA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0760C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DC25F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2E8AB38"/>
    <w:multiLevelType w:val="hybridMultilevel"/>
    <w:tmpl w:val="8610964A"/>
    <w:lvl w:ilvl="0" w:tplc="389C070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8D852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A60466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85EEA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C3A45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B727CD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3E471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282F1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E294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5D01827"/>
    <w:multiLevelType w:val="hybridMultilevel"/>
    <w:tmpl w:val="BAC6CE1A"/>
    <w:lvl w:ilvl="0" w:tplc="354C2E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25E16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7E231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5C6A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7D24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5AD0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F20813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50821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1410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731EC67"/>
    <w:multiLevelType w:val="hybridMultilevel"/>
    <w:tmpl w:val="E2EC325E"/>
    <w:lvl w:ilvl="0" w:tplc="A7E6D2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6F088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EAF8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5C470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D0EC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2209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546D93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C1035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CC68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7B7456D"/>
    <w:multiLevelType w:val="hybridMultilevel"/>
    <w:tmpl w:val="3ED85EA0"/>
    <w:lvl w:ilvl="0" w:tplc="BB3472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AEAD7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8769F4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1DE7E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77E37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C4423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488D3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916A8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50D04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736A66F"/>
    <w:multiLevelType w:val="hybridMultilevel"/>
    <w:tmpl w:val="FB741916"/>
    <w:lvl w:ilvl="0" w:tplc="B36A686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FE46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C64CD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1E348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B107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BCEAF8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AA8E45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1E6E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402B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DC35104"/>
    <w:multiLevelType w:val="hybridMultilevel"/>
    <w:tmpl w:val="2788FB4C"/>
    <w:lvl w:ilvl="0" w:tplc="4DB6B7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77E67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3A21C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4C054A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CAAA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644CA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C86A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738E9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A006C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620260E"/>
    <w:multiLevelType w:val="hybridMultilevel"/>
    <w:tmpl w:val="9D3C92AA"/>
    <w:lvl w:ilvl="0" w:tplc="0E9CD1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C08C0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356E4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BA88C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0A473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5A7F4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4F6E09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EA85A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DEE0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9CEAD9C"/>
    <w:multiLevelType w:val="hybridMultilevel"/>
    <w:tmpl w:val="D19262CE"/>
    <w:lvl w:ilvl="0" w:tplc="EDE651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5A2F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8A52C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4A42C2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B50BC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526DB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E6D77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74C5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00894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E5109CC"/>
    <w:multiLevelType w:val="hybridMultilevel"/>
    <w:tmpl w:val="8F8464E0"/>
    <w:lvl w:ilvl="0" w:tplc="3F1A1F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FFE4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021A1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D9A2FE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56240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4EC3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78622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C9E7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6A606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150F1E9"/>
    <w:multiLevelType w:val="hybridMultilevel"/>
    <w:tmpl w:val="4CF4B350"/>
    <w:lvl w:ilvl="0" w:tplc="719CEE3E">
      <w:start w:val="1"/>
      <w:numFmt w:val="bullet"/>
      <w:lvlText w:val="●"/>
      <w:lvlJc w:val="left"/>
      <w:pPr>
        <w:ind w:left="720" w:hanging="360"/>
      </w:pPr>
    </w:lvl>
    <w:lvl w:ilvl="1" w:tplc="5576E5F6">
      <w:start w:val="1"/>
      <w:numFmt w:val="bullet"/>
      <w:lvlText w:val="○"/>
      <w:lvlJc w:val="left"/>
      <w:pPr>
        <w:ind w:left="1440" w:hanging="360"/>
      </w:pPr>
    </w:lvl>
    <w:lvl w:ilvl="2" w:tplc="A724A1A4">
      <w:start w:val="1"/>
      <w:numFmt w:val="bullet"/>
      <w:lvlText w:val="■"/>
      <w:lvlJc w:val="left"/>
      <w:pPr>
        <w:ind w:left="2160" w:hanging="360"/>
      </w:pPr>
    </w:lvl>
    <w:lvl w:ilvl="3" w:tplc="C226B6EA">
      <w:start w:val="1"/>
      <w:numFmt w:val="bullet"/>
      <w:lvlText w:val="●"/>
      <w:lvlJc w:val="left"/>
      <w:pPr>
        <w:ind w:left="2880" w:hanging="360"/>
      </w:pPr>
    </w:lvl>
    <w:lvl w:ilvl="4" w:tplc="C0D2CDE0">
      <w:start w:val="1"/>
      <w:numFmt w:val="bullet"/>
      <w:lvlText w:val="○"/>
      <w:lvlJc w:val="left"/>
      <w:pPr>
        <w:ind w:left="3600" w:hanging="360"/>
      </w:pPr>
    </w:lvl>
    <w:lvl w:ilvl="5" w:tplc="840C417E">
      <w:start w:val="1"/>
      <w:numFmt w:val="bullet"/>
      <w:lvlText w:val="■"/>
      <w:lvlJc w:val="left"/>
      <w:pPr>
        <w:ind w:left="4320" w:hanging="360"/>
      </w:pPr>
    </w:lvl>
    <w:lvl w:ilvl="6" w:tplc="D4D20D50">
      <w:start w:val="1"/>
      <w:numFmt w:val="bullet"/>
      <w:lvlText w:val="●"/>
      <w:lvlJc w:val="left"/>
      <w:pPr>
        <w:ind w:left="5040" w:hanging="360"/>
      </w:pPr>
    </w:lvl>
    <w:lvl w:ilvl="7" w:tplc="06D692F0">
      <w:start w:val="1"/>
      <w:numFmt w:val="bullet"/>
      <w:lvlText w:val="●"/>
      <w:lvlJc w:val="left"/>
      <w:pPr>
        <w:ind w:left="5760" w:hanging="360"/>
      </w:pPr>
    </w:lvl>
    <w:lvl w:ilvl="8" w:tplc="AD10F02E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41FF2841"/>
    <w:multiLevelType w:val="hybridMultilevel"/>
    <w:tmpl w:val="62DCF6FA"/>
    <w:lvl w:ilvl="0" w:tplc="57EA00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8267A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080F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D87A5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5C66E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5E455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DAC6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91CCE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32C45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2DFB028"/>
    <w:multiLevelType w:val="hybridMultilevel"/>
    <w:tmpl w:val="AEE40EA2"/>
    <w:lvl w:ilvl="0" w:tplc="D316737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7DE8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B8B8A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AE99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9704B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A2FD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EE95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02A52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C82E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3CCC86A"/>
    <w:multiLevelType w:val="hybridMultilevel"/>
    <w:tmpl w:val="1D6E6D4E"/>
    <w:lvl w:ilvl="0" w:tplc="D1AAE0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2544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89A3F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5E46D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89C6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D3C71F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D669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5C0F8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F4EF1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9EA19D9"/>
    <w:multiLevelType w:val="hybridMultilevel"/>
    <w:tmpl w:val="84ECEC8A"/>
    <w:lvl w:ilvl="0" w:tplc="17F445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A6AD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220DD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688CE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0E01F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62EB0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FE8D4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21447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FA68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AD2F012"/>
    <w:multiLevelType w:val="hybridMultilevel"/>
    <w:tmpl w:val="27AEC0B6"/>
    <w:lvl w:ilvl="0" w:tplc="8E3891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68A0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0AA8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6077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8F8E5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36397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0D8B2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AAEB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77E423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BB95AF2"/>
    <w:multiLevelType w:val="hybridMultilevel"/>
    <w:tmpl w:val="B8E854A4"/>
    <w:lvl w:ilvl="0" w:tplc="6FA6CF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164CE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402A7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F94BA3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62A5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3B0DB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8C2EBE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1C62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9C7E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718FD490"/>
    <w:multiLevelType w:val="hybridMultilevel"/>
    <w:tmpl w:val="64823F5E"/>
    <w:lvl w:ilvl="0" w:tplc="460EE7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0FE6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FDC097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1A78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A720B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34F28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682C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CC47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60805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368F7C1"/>
    <w:multiLevelType w:val="hybridMultilevel"/>
    <w:tmpl w:val="E2FEBA20"/>
    <w:lvl w:ilvl="0" w:tplc="118C7E6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FE679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DE68B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34A310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D744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9C94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2084B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6F8D7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A302F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71FA6F7"/>
    <w:multiLevelType w:val="hybridMultilevel"/>
    <w:tmpl w:val="9C6A07C2"/>
    <w:lvl w:ilvl="0" w:tplc="E2CADF9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1A0C8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2C7BA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26E2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8BE8F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20E68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67604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D2AF7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4601F3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725EC8D"/>
    <w:multiLevelType w:val="hybridMultilevel"/>
    <w:tmpl w:val="2AB6F7BA"/>
    <w:lvl w:ilvl="0" w:tplc="2D28BC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97ACC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0283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78542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98016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5E151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B4DEE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5A7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DE0B7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497377868">
    <w:abstractNumId w:val="10"/>
    <w:lvlOverride w:ilvl="0">
      <w:startOverride w:val="1"/>
    </w:lvlOverride>
  </w:num>
  <w:num w:numId="2" w16cid:durableId="376516857">
    <w:abstractNumId w:val="16"/>
  </w:num>
  <w:num w:numId="3" w16cid:durableId="674914830">
    <w:abstractNumId w:val="9"/>
  </w:num>
  <w:num w:numId="4" w16cid:durableId="423036569">
    <w:abstractNumId w:val="8"/>
  </w:num>
  <w:num w:numId="5" w16cid:durableId="1390762824">
    <w:abstractNumId w:val="5"/>
  </w:num>
  <w:num w:numId="6" w16cid:durableId="8917783">
    <w:abstractNumId w:val="14"/>
  </w:num>
  <w:num w:numId="7" w16cid:durableId="1465929967">
    <w:abstractNumId w:val="12"/>
  </w:num>
  <w:num w:numId="8" w16cid:durableId="1196844915">
    <w:abstractNumId w:val="7"/>
  </w:num>
  <w:num w:numId="9" w16cid:durableId="1015888581">
    <w:abstractNumId w:val="1"/>
  </w:num>
  <w:num w:numId="10" w16cid:durableId="1828092346">
    <w:abstractNumId w:val="13"/>
  </w:num>
  <w:num w:numId="11" w16cid:durableId="1894348122">
    <w:abstractNumId w:val="11"/>
  </w:num>
  <w:num w:numId="12" w16cid:durableId="1173304816">
    <w:abstractNumId w:val="3"/>
  </w:num>
  <w:num w:numId="13" w16cid:durableId="1813055914">
    <w:abstractNumId w:val="15"/>
  </w:num>
  <w:num w:numId="14" w16cid:durableId="1948998570">
    <w:abstractNumId w:val="19"/>
  </w:num>
  <w:num w:numId="15" w16cid:durableId="741373292">
    <w:abstractNumId w:val="17"/>
  </w:num>
  <w:num w:numId="16" w16cid:durableId="2042509553">
    <w:abstractNumId w:val="20"/>
  </w:num>
  <w:num w:numId="17" w16cid:durableId="1674215262">
    <w:abstractNumId w:val="4"/>
  </w:num>
  <w:num w:numId="18" w16cid:durableId="1366253747">
    <w:abstractNumId w:val="0"/>
  </w:num>
  <w:num w:numId="19" w16cid:durableId="1083913992">
    <w:abstractNumId w:val="6"/>
  </w:num>
  <w:num w:numId="20" w16cid:durableId="670839942">
    <w:abstractNumId w:val="18"/>
  </w:num>
  <w:num w:numId="21" w16cid:durableId="146755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6D"/>
    <w:rsid w:val="00105AAB"/>
    <w:rsid w:val="001B6A61"/>
    <w:rsid w:val="00294FD6"/>
    <w:rsid w:val="003343FF"/>
    <w:rsid w:val="003D4D6D"/>
    <w:rsid w:val="00472A4F"/>
    <w:rsid w:val="00502551"/>
    <w:rsid w:val="005471F2"/>
    <w:rsid w:val="00751EA5"/>
    <w:rsid w:val="007811DE"/>
    <w:rsid w:val="00AB4569"/>
    <w:rsid w:val="00B37FC2"/>
    <w:rsid w:val="00C96206"/>
    <w:rsid w:val="00CC3472"/>
    <w:rsid w:val="00D52F87"/>
    <w:rsid w:val="00DB5134"/>
    <w:rsid w:val="00DD52BA"/>
    <w:rsid w:val="00EC66F5"/>
    <w:rsid w:val="00FD54F3"/>
    <w:rsid w:val="129DF9CA"/>
    <w:rsid w:val="608B76DA"/>
    <w:rsid w:val="7E8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103C"/>
  <w15:docId w15:val="{6B80634C-BF8C-4169-A689-7753015C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6604</Characters>
  <Application>Microsoft Office Word</Application>
  <DocSecurity>0</DocSecurity>
  <Lines>177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Dean KC, HHJ Nicholas</cp:lastModifiedBy>
  <cp:revision>6</cp:revision>
  <dcterms:created xsi:type="dcterms:W3CDTF">2026-03-27T12:24:00Z</dcterms:created>
  <dcterms:modified xsi:type="dcterms:W3CDTF">2026-03-27T13:13:00Z</dcterms:modified>
</cp:coreProperties>
</file>